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9C422" w14:textId="77777777" w:rsidR="001E723A" w:rsidRPr="00061937" w:rsidRDefault="001E723A" w:rsidP="001E723A">
      <w:pPr>
        <w:jc w:val="center"/>
        <w:rPr>
          <w:rFonts w:asciiTheme="minorHAnsi" w:hAnsiTheme="minorHAnsi"/>
          <w:b/>
          <w:sz w:val="22"/>
          <w:szCs w:val="22"/>
        </w:rPr>
      </w:pPr>
      <w:r w:rsidRPr="00061937">
        <w:rPr>
          <w:rFonts w:asciiTheme="minorHAnsi" w:hAnsiTheme="minorHAnsi"/>
          <w:b/>
          <w:sz w:val="22"/>
          <w:szCs w:val="22"/>
        </w:rPr>
        <w:t xml:space="preserve">Liberal Learning Program Council  </w:t>
      </w:r>
    </w:p>
    <w:p w14:paraId="29063C72" w14:textId="77777777" w:rsidR="001E723A" w:rsidRPr="00061937" w:rsidRDefault="001E723A" w:rsidP="001E723A">
      <w:pPr>
        <w:jc w:val="center"/>
        <w:rPr>
          <w:rFonts w:asciiTheme="minorHAnsi" w:hAnsiTheme="minorHAnsi"/>
          <w:sz w:val="22"/>
          <w:szCs w:val="22"/>
        </w:rPr>
      </w:pPr>
    </w:p>
    <w:p w14:paraId="6F49B10F" w14:textId="77777777" w:rsidR="001E723A" w:rsidRPr="00061937" w:rsidRDefault="001E723A" w:rsidP="00C97E40">
      <w:pPr>
        <w:ind w:left="720"/>
        <w:jc w:val="center"/>
        <w:rPr>
          <w:rFonts w:asciiTheme="minorHAnsi" w:hAnsiTheme="minorHAnsi"/>
          <w:b/>
          <w:sz w:val="22"/>
          <w:szCs w:val="22"/>
        </w:rPr>
      </w:pPr>
      <w:r w:rsidRPr="00061937">
        <w:rPr>
          <w:rFonts w:asciiTheme="minorHAnsi" w:hAnsiTheme="minorHAnsi"/>
          <w:b/>
          <w:sz w:val="22"/>
          <w:szCs w:val="22"/>
        </w:rPr>
        <w:t>Approval Process for Liberal Learning Designations</w:t>
      </w:r>
      <w:r w:rsidR="00C97E40">
        <w:rPr>
          <w:rFonts w:asciiTheme="minorHAnsi" w:hAnsiTheme="minorHAnsi"/>
          <w:b/>
          <w:sz w:val="22"/>
          <w:szCs w:val="22"/>
        </w:rPr>
        <w:t xml:space="preserve"> (March 1, 2010)</w:t>
      </w:r>
    </w:p>
    <w:p w14:paraId="791A8FDF" w14:textId="77777777" w:rsidR="001E723A" w:rsidRPr="00061937" w:rsidRDefault="001E723A" w:rsidP="001E723A">
      <w:pPr>
        <w:rPr>
          <w:rFonts w:asciiTheme="minorHAnsi" w:hAnsiTheme="minorHAnsi"/>
          <w:sz w:val="22"/>
          <w:szCs w:val="22"/>
        </w:rPr>
      </w:pPr>
    </w:p>
    <w:p w14:paraId="0B0E4EEF" w14:textId="77777777" w:rsidR="00061937" w:rsidRPr="00061937" w:rsidRDefault="00061937" w:rsidP="00061937">
      <w:pPr>
        <w:rPr>
          <w:rFonts w:asciiTheme="minorHAnsi" w:hAnsiTheme="minorHAnsi"/>
          <w:b/>
          <w:sz w:val="22"/>
          <w:szCs w:val="22"/>
        </w:rPr>
      </w:pPr>
      <w:r w:rsidRPr="00061937">
        <w:rPr>
          <w:rFonts w:asciiTheme="minorHAnsi" w:hAnsiTheme="minorHAnsi"/>
          <w:b/>
          <w:sz w:val="22"/>
          <w:szCs w:val="22"/>
        </w:rPr>
        <w:t>Courses with the following prefixes will automatically count for Liberal learning credit as indicated (and such ‘counting’ will be retroactive):</w:t>
      </w:r>
    </w:p>
    <w:p w14:paraId="3EF6D01C" w14:textId="77777777" w:rsidR="00061937" w:rsidRPr="00061937" w:rsidRDefault="00061937" w:rsidP="00061937">
      <w:pPr>
        <w:rPr>
          <w:rFonts w:asciiTheme="minorHAnsi" w:hAnsiTheme="minorHAnsi"/>
          <w:b/>
          <w:sz w:val="22"/>
          <w:szCs w:val="22"/>
        </w:rPr>
      </w:pPr>
      <w:r w:rsidRPr="00061937">
        <w:rPr>
          <w:rFonts w:asciiTheme="minorHAnsi" w:hAnsiTheme="minorHAnsi"/>
          <w:b/>
          <w:sz w:val="22"/>
          <w:szCs w:val="22"/>
        </w:rPr>
        <w:t>Domains:</w:t>
      </w:r>
    </w:p>
    <w:p w14:paraId="1D9A9F3C" w14:textId="77777777" w:rsidR="00061937" w:rsidRDefault="00061937" w:rsidP="00061937">
      <w:pPr>
        <w:ind w:left="720"/>
        <w:rPr>
          <w:rFonts w:asciiTheme="minorHAnsi" w:hAnsiTheme="minorHAnsi"/>
          <w:sz w:val="22"/>
          <w:szCs w:val="22"/>
        </w:rPr>
      </w:pPr>
      <w:r w:rsidRPr="00061937">
        <w:rPr>
          <w:rFonts w:asciiTheme="minorHAnsi" w:hAnsiTheme="minorHAnsi"/>
          <w:sz w:val="22"/>
          <w:szCs w:val="22"/>
        </w:rPr>
        <w:t>ANT (Anthropology—BSCP</w:t>
      </w:r>
    </w:p>
    <w:p w14:paraId="4FDB8B33" w14:textId="77777777" w:rsidR="00DC4F7C" w:rsidRPr="00061937" w:rsidRDefault="00DC4F7C" w:rsidP="00061937">
      <w:pPr>
        <w:ind w:left="720"/>
        <w:rPr>
          <w:rFonts w:asciiTheme="minorHAnsi" w:hAnsiTheme="minorHAnsi"/>
          <w:sz w:val="22"/>
          <w:szCs w:val="22"/>
        </w:rPr>
      </w:pPr>
      <w:r>
        <w:rPr>
          <w:rFonts w:asciiTheme="minorHAnsi" w:hAnsiTheme="minorHAnsi"/>
          <w:sz w:val="22"/>
          <w:szCs w:val="22"/>
        </w:rPr>
        <w:t>CSC (Computer Science) QR</w:t>
      </w:r>
    </w:p>
    <w:p w14:paraId="34780B87"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ECO (Economics)—BSCP</w:t>
      </w:r>
    </w:p>
    <w:p w14:paraId="7C5F1860"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POL (Political Science)—BSCP</w:t>
      </w:r>
    </w:p>
    <w:p w14:paraId="67370F03"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PSY (Psychology)—BSCP</w:t>
      </w:r>
    </w:p>
    <w:p w14:paraId="4647D4E9"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SOC (Sociology)—BSCP</w:t>
      </w:r>
    </w:p>
    <w:p w14:paraId="4CBFBAEC"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AAH (Art History)—LVPA</w:t>
      </w:r>
    </w:p>
    <w:p w14:paraId="7272C620"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CMP (Comparative Literature)—LVPA</w:t>
      </w:r>
    </w:p>
    <w:p w14:paraId="3827A406"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LIT (Literature)—LVPA</w:t>
      </w:r>
    </w:p>
    <w:p w14:paraId="63CC5152"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VPA (Visual and Performing Arts)—LVPA</w:t>
      </w:r>
    </w:p>
    <w:p w14:paraId="30589A25"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BIO (Biology)—NS</w:t>
      </w:r>
    </w:p>
    <w:p w14:paraId="521E51BC"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CHE (Chemistry)—NS</w:t>
      </w:r>
    </w:p>
    <w:p w14:paraId="70328065"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PHY (Physics, et. al)—NS</w:t>
      </w:r>
    </w:p>
    <w:p w14:paraId="5C74A07F" w14:textId="77777777" w:rsidR="00061937" w:rsidRPr="00061937" w:rsidRDefault="00061937" w:rsidP="00061937">
      <w:pPr>
        <w:ind w:left="720"/>
        <w:rPr>
          <w:rFonts w:asciiTheme="minorHAnsi" w:hAnsiTheme="minorHAnsi"/>
          <w:sz w:val="22"/>
          <w:szCs w:val="22"/>
        </w:rPr>
      </w:pPr>
      <w:r w:rsidRPr="006F2C13">
        <w:rPr>
          <w:rFonts w:asciiTheme="minorHAnsi" w:hAnsiTheme="minorHAnsi"/>
          <w:sz w:val="22"/>
          <w:szCs w:val="22"/>
        </w:rPr>
        <w:t>SCI (Interdisciplinary Science)—NS</w:t>
      </w:r>
    </w:p>
    <w:p w14:paraId="013E0115"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MAT (Mathematics)—QR</w:t>
      </w:r>
    </w:p>
    <w:p w14:paraId="42BC270B"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STA (Statistics)—QR</w:t>
      </w:r>
    </w:p>
    <w:p w14:paraId="4732B57A"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HIS (History)—SCHP</w:t>
      </w:r>
    </w:p>
    <w:p w14:paraId="7F68DE83"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PHL (Philosophy)—WVWK</w:t>
      </w:r>
    </w:p>
    <w:p w14:paraId="752D3595"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REL (Religion)—WVWK</w:t>
      </w:r>
    </w:p>
    <w:p w14:paraId="626D87D8" w14:textId="77777777" w:rsidR="00061937" w:rsidRPr="00061937" w:rsidRDefault="00061937" w:rsidP="00061937">
      <w:pPr>
        <w:rPr>
          <w:rFonts w:asciiTheme="minorHAnsi" w:hAnsiTheme="minorHAnsi"/>
          <w:sz w:val="22"/>
          <w:szCs w:val="22"/>
        </w:rPr>
      </w:pPr>
    </w:p>
    <w:p w14:paraId="1F0146E8" w14:textId="77777777" w:rsidR="00061937" w:rsidRPr="00061937" w:rsidRDefault="00061937" w:rsidP="00061937">
      <w:pPr>
        <w:rPr>
          <w:rFonts w:asciiTheme="minorHAnsi" w:hAnsiTheme="minorHAnsi"/>
          <w:b/>
          <w:sz w:val="22"/>
          <w:szCs w:val="22"/>
        </w:rPr>
      </w:pPr>
      <w:r w:rsidRPr="00061937">
        <w:rPr>
          <w:rFonts w:asciiTheme="minorHAnsi" w:hAnsiTheme="minorHAnsi"/>
          <w:b/>
          <w:sz w:val="22"/>
          <w:szCs w:val="22"/>
        </w:rPr>
        <w:t>Civic Responsibilities:</w:t>
      </w:r>
    </w:p>
    <w:p w14:paraId="0F09F92B"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AAS (African American Studies)—Race and Ethnicity</w:t>
      </w:r>
    </w:p>
    <w:p w14:paraId="0CA893A8"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INB (International Business)—Global</w:t>
      </w:r>
    </w:p>
    <w:p w14:paraId="3A354DE0"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 xml:space="preserve">INT (International Studies)—Global </w:t>
      </w:r>
    </w:p>
    <w:p w14:paraId="29F96CE8"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WGS (Women’s and Gender Studies)—Gender</w:t>
      </w:r>
    </w:p>
    <w:p w14:paraId="60D3D4A6" w14:textId="77777777" w:rsidR="00061937" w:rsidRPr="00061937" w:rsidRDefault="00061937" w:rsidP="00061937">
      <w:pPr>
        <w:rPr>
          <w:rFonts w:asciiTheme="minorHAnsi" w:hAnsiTheme="minorHAnsi"/>
          <w:sz w:val="22"/>
          <w:szCs w:val="22"/>
        </w:rPr>
      </w:pPr>
    </w:p>
    <w:p w14:paraId="3991D260" w14:textId="77777777" w:rsidR="00061937" w:rsidRPr="00061937" w:rsidRDefault="00061937" w:rsidP="00061937">
      <w:pPr>
        <w:rPr>
          <w:rFonts w:asciiTheme="minorHAnsi" w:hAnsiTheme="minorHAnsi"/>
          <w:b/>
          <w:sz w:val="22"/>
          <w:szCs w:val="22"/>
        </w:rPr>
      </w:pPr>
      <w:r w:rsidRPr="00061937">
        <w:rPr>
          <w:rFonts w:asciiTheme="minorHAnsi" w:hAnsiTheme="minorHAnsi"/>
          <w:b/>
          <w:sz w:val="22"/>
          <w:szCs w:val="22"/>
        </w:rPr>
        <w:t>Key:</w:t>
      </w:r>
    </w:p>
    <w:p w14:paraId="2A408032"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BSCP</w:t>
      </w:r>
      <w:r w:rsidRPr="00061937">
        <w:rPr>
          <w:rFonts w:asciiTheme="minorHAnsi" w:hAnsiTheme="minorHAnsi"/>
          <w:sz w:val="22"/>
          <w:szCs w:val="22"/>
        </w:rPr>
        <w:tab/>
        <w:t>Behavioral, Social, and Cultural Perspectives</w:t>
      </w:r>
    </w:p>
    <w:p w14:paraId="0782D768"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LVPA</w:t>
      </w:r>
      <w:r w:rsidRPr="00061937">
        <w:rPr>
          <w:rFonts w:asciiTheme="minorHAnsi" w:hAnsiTheme="minorHAnsi"/>
          <w:sz w:val="22"/>
          <w:szCs w:val="22"/>
        </w:rPr>
        <w:tab/>
        <w:t>Literary, Visual, and Performing Arts</w:t>
      </w:r>
    </w:p>
    <w:p w14:paraId="418E7112"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NS</w:t>
      </w:r>
      <w:r w:rsidRPr="00061937">
        <w:rPr>
          <w:rFonts w:asciiTheme="minorHAnsi" w:hAnsiTheme="minorHAnsi"/>
          <w:sz w:val="22"/>
          <w:szCs w:val="22"/>
        </w:rPr>
        <w:tab/>
        <w:t>Natural Science</w:t>
      </w:r>
    </w:p>
    <w:p w14:paraId="10949389"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QR</w:t>
      </w:r>
      <w:r w:rsidRPr="00061937">
        <w:rPr>
          <w:rFonts w:asciiTheme="minorHAnsi" w:hAnsiTheme="minorHAnsi"/>
          <w:sz w:val="22"/>
          <w:szCs w:val="22"/>
        </w:rPr>
        <w:tab/>
        <w:t>Quantitative Reasoning</w:t>
      </w:r>
    </w:p>
    <w:p w14:paraId="2EECBA00"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SCHP</w:t>
      </w:r>
      <w:r w:rsidRPr="00061937">
        <w:rPr>
          <w:rFonts w:asciiTheme="minorHAnsi" w:hAnsiTheme="minorHAnsi"/>
          <w:sz w:val="22"/>
          <w:szCs w:val="22"/>
        </w:rPr>
        <w:tab/>
        <w:t>Social Change in Historical Perspectives</w:t>
      </w:r>
    </w:p>
    <w:p w14:paraId="4AA85390" w14:textId="77777777" w:rsidR="00061937" w:rsidRPr="00061937" w:rsidRDefault="00061937" w:rsidP="00061937">
      <w:pPr>
        <w:ind w:left="720"/>
        <w:rPr>
          <w:rFonts w:asciiTheme="minorHAnsi" w:hAnsiTheme="minorHAnsi"/>
          <w:sz w:val="22"/>
          <w:szCs w:val="22"/>
        </w:rPr>
      </w:pPr>
      <w:r w:rsidRPr="00061937">
        <w:rPr>
          <w:rFonts w:asciiTheme="minorHAnsi" w:hAnsiTheme="minorHAnsi"/>
          <w:sz w:val="22"/>
          <w:szCs w:val="22"/>
        </w:rPr>
        <w:t>WVWK</w:t>
      </w:r>
      <w:r w:rsidRPr="00061937">
        <w:rPr>
          <w:rFonts w:asciiTheme="minorHAnsi" w:hAnsiTheme="minorHAnsi"/>
          <w:sz w:val="22"/>
          <w:szCs w:val="22"/>
        </w:rPr>
        <w:tab/>
        <w:t>World Views and Ways of Knowing</w:t>
      </w:r>
    </w:p>
    <w:p w14:paraId="369A92AE" w14:textId="77777777" w:rsidR="00061937" w:rsidRPr="00061937" w:rsidRDefault="00061937" w:rsidP="00061937">
      <w:pPr>
        <w:rPr>
          <w:rFonts w:asciiTheme="minorHAnsi" w:hAnsiTheme="minorHAnsi"/>
          <w:sz w:val="22"/>
          <w:szCs w:val="22"/>
        </w:rPr>
      </w:pPr>
    </w:p>
    <w:p w14:paraId="62F9EF1B" w14:textId="77777777" w:rsidR="00061937" w:rsidRPr="00061937" w:rsidRDefault="00061937" w:rsidP="00061937">
      <w:pPr>
        <w:rPr>
          <w:rFonts w:asciiTheme="minorHAnsi" w:hAnsiTheme="minorHAnsi"/>
          <w:b/>
          <w:sz w:val="22"/>
          <w:szCs w:val="22"/>
        </w:rPr>
      </w:pPr>
      <w:r w:rsidRPr="00061937">
        <w:rPr>
          <w:rFonts w:asciiTheme="minorHAnsi" w:hAnsiTheme="minorHAnsi"/>
          <w:b/>
          <w:sz w:val="22"/>
          <w:szCs w:val="22"/>
        </w:rPr>
        <w:t>This policy does not affect courses already approved for any existing categories, nor does it preclude requests for approvals in all categories for courses with any prefixes.  However, such proposals must be submitted in accordance with ex</w:t>
      </w:r>
      <w:r>
        <w:rPr>
          <w:rFonts w:asciiTheme="minorHAnsi" w:hAnsiTheme="minorHAnsi"/>
          <w:b/>
          <w:sz w:val="22"/>
          <w:szCs w:val="22"/>
        </w:rPr>
        <w:t>isting course approval policies, which follow below:</w:t>
      </w:r>
    </w:p>
    <w:p w14:paraId="2956CD1B" w14:textId="77777777" w:rsidR="001E723A" w:rsidRPr="00061937" w:rsidRDefault="001E723A" w:rsidP="001E723A">
      <w:pPr>
        <w:rPr>
          <w:rFonts w:asciiTheme="minorHAnsi" w:hAnsiTheme="minorHAnsi"/>
          <w:sz w:val="22"/>
          <w:szCs w:val="22"/>
        </w:rPr>
      </w:pPr>
    </w:p>
    <w:p w14:paraId="020746AD" w14:textId="76F02CCD" w:rsidR="001E723A" w:rsidRPr="00061937" w:rsidRDefault="001E723A" w:rsidP="001E723A">
      <w:pPr>
        <w:numPr>
          <w:ilvl w:val="0"/>
          <w:numId w:val="1"/>
        </w:numPr>
        <w:spacing w:after="120"/>
        <w:rPr>
          <w:rFonts w:asciiTheme="minorHAnsi" w:hAnsiTheme="minorHAnsi"/>
          <w:sz w:val="22"/>
          <w:szCs w:val="22"/>
        </w:rPr>
      </w:pPr>
      <w:r w:rsidRPr="00061937">
        <w:rPr>
          <w:rFonts w:asciiTheme="minorHAnsi" w:hAnsiTheme="minorHAnsi"/>
          <w:b/>
          <w:sz w:val="22"/>
          <w:szCs w:val="22"/>
        </w:rPr>
        <w:t>Cover document, written rationale, and syllabus:</w:t>
      </w:r>
      <w:r w:rsidRPr="00061937">
        <w:rPr>
          <w:rFonts w:asciiTheme="minorHAnsi" w:hAnsiTheme="minorHAnsi"/>
          <w:sz w:val="22"/>
          <w:szCs w:val="22"/>
        </w:rPr>
        <w:t xml:space="preserve"> The Liberal Learning Program Council will request and examine the course Cover Document and Syllabus in cases where a department, school, or program is not aligned with a liberal learning category</w:t>
      </w:r>
      <w:r w:rsidR="00061937">
        <w:rPr>
          <w:rFonts w:asciiTheme="minorHAnsi" w:hAnsiTheme="minorHAnsi"/>
          <w:sz w:val="22"/>
          <w:szCs w:val="22"/>
        </w:rPr>
        <w:t xml:space="preserve"> as indicated above</w:t>
      </w:r>
      <w:r w:rsidRPr="00061937">
        <w:rPr>
          <w:rFonts w:asciiTheme="minorHAnsi" w:hAnsiTheme="minorHAnsi"/>
          <w:sz w:val="22"/>
          <w:szCs w:val="22"/>
        </w:rPr>
        <w:t xml:space="preserve">.  The course Cover Document must include a written rationale detailing how the course satisfies the requested designation’s goals and outcomes (as </w:t>
      </w:r>
      <w:r w:rsidRPr="00061937">
        <w:rPr>
          <w:rFonts w:asciiTheme="minorHAnsi" w:hAnsiTheme="minorHAnsi"/>
          <w:sz w:val="22"/>
          <w:szCs w:val="22"/>
        </w:rPr>
        <w:lastRenderedPageBreak/>
        <w:t>outlined in the College’s liberal learning documents).</w:t>
      </w:r>
      <w:r w:rsidR="00D25D60">
        <w:rPr>
          <w:rFonts w:asciiTheme="minorHAnsi" w:hAnsiTheme="minorHAnsi"/>
          <w:sz w:val="22"/>
          <w:szCs w:val="22"/>
        </w:rPr>
        <w:t xml:space="preserve"> </w:t>
      </w:r>
      <w:r w:rsidRPr="00061937">
        <w:rPr>
          <w:rFonts w:asciiTheme="minorHAnsi" w:hAnsiTheme="minorHAnsi"/>
          <w:sz w:val="22"/>
          <w:szCs w:val="22"/>
        </w:rPr>
        <w:t xml:space="preserve"> </w:t>
      </w:r>
      <w:r w:rsidR="00D25D60">
        <w:rPr>
          <w:rFonts w:asciiTheme="minorHAnsi" w:hAnsiTheme="minorHAnsi"/>
          <w:sz w:val="22"/>
          <w:szCs w:val="22"/>
        </w:rPr>
        <w:t>Submit all materials to the LL</w:t>
      </w:r>
      <w:r w:rsidR="00215EBD">
        <w:rPr>
          <w:rFonts w:asciiTheme="minorHAnsi" w:hAnsiTheme="minorHAnsi"/>
          <w:sz w:val="22"/>
          <w:szCs w:val="22"/>
        </w:rPr>
        <w:t xml:space="preserve">PC Chair </w:t>
      </w:r>
      <w:r w:rsidR="006B11BD">
        <w:rPr>
          <w:rFonts w:asciiTheme="minorHAnsi" w:hAnsiTheme="minorHAnsi"/>
          <w:sz w:val="22"/>
          <w:szCs w:val="22"/>
        </w:rPr>
        <w:t>(AY 2014-2015</w:t>
      </w:r>
      <w:r w:rsidR="00D25D60">
        <w:rPr>
          <w:rFonts w:asciiTheme="minorHAnsi" w:hAnsiTheme="minorHAnsi"/>
          <w:sz w:val="22"/>
          <w:szCs w:val="22"/>
        </w:rPr>
        <w:t xml:space="preserve"> </w:t>
      </w:r>
      <w:r w:rsidR="00215EBD">
        <w:rPr>
          <w:rFonts w:asciiTheme="minorHAnsi" w:hAnsiTheme="minorHAnsi"/>
          <w:sz w:val="22"/>
          <w:szCs w:val="22"/>
        </w:rPr>
        <w:t>Nelson Rodriguez</w:t>
      </w:r>
      <w:r w:rsidR="00D25D60">
        <w:rPr>
          <w:rFonts w:asciiTheme="minorHAnsi" w:hAnsiTheme="minorHAnsi"/>
          <w:sz w:val="22"/>
          <w:szCs w:val="22"/>
        </w:rPr>
        <w:t xml:space="preserve"> </w:t>
      </w:r>
      <w:hyperlink r:id="rId6" w:history="1">
        <w:r w:rsidR="00215EBD" w:rsidRPr="00215EBD">
          <w:rPr>
            <w:rStyle w:val="Hyperlink"/>
            <w:rFonts w:asciiTheme="minorHAnsi" w:hAnsiTheme="minorHAnsi"/>
            <w:sz w:val="22"/>
            <w:szCs w:val="22"/>
          </w:rPr>
          <w:t>nrodrigu@tcnj.edu</w:t>
        </w:r>
      </w:hyperlink>
      <w:r w:rsidR="00D25D60">
        <w:rPr>
          <w:rFonts w:asciiTheme="minorHAnsi" w:hAnsiTheme="minorHAnsi"/>
          <w:sz w:val="22"/>
          <w:szCs w:val="22"/>
        </w:rPr>
        <w:t xml:space="preserve">). </w:t>
      </w:r>
      <w:r w:rsidRPr="00061937">
        <w:rPr>
          <w:rFonts w:asciiTheme="minorHAnsi" w:hAnsiTheme="minorHAnsi"/>
          <w:sz w:val="22"/>
          <w:szCs w:val="22"/>
        </w:rPr>
        <w:t xml:space="preserve"> The </w:t>
      </w:r>
      <w:r w:rsidRPr="00061937">
        <w:rPr>
          <w:rFonts w:asciiTheme="minorHAnsi" w:hAnsiTheme="minorHAnsi"/>
          <w:b/>
          <w:sz w:val="22"/>
          <w:szCs w:val="22"/>
        </w:rPr>
        <w:t>Check List</w:t>
      </w:r>
      <w:r w:rsidRPr="00061937">
        <w:rPr>
          <w:rFonts w:asciiTheme="minorHAnsi" w:hAnsiTheme="minorHAnsi"/>
          <w:sz w:val="22"/>
          <w:szCs w:val="22"/>
        </w:rPr>
        <w:t xml:space="preserve"> provided below should be used as a guide.</w:t>
      </w:r>
    </w:p>
    <w:p w14:paraId="6C2F015C" w14:textId="77777777" w:rsidR="001E723A" w:rsidRPr="00061937" w:rsidRDefault="001E723A" w:rsidP="001E723A">
      <w:pPr>
        <w:numPr>
          <w:ilvl w:val="0"/>
          <w:numId w:val="1"/>
        </w:numPr>
        <w:spacing w:after="120"/>
        <w:rPr>
          <w:rFonts w:asciiTheme="minorHAnsi" w:hAnsiTheme="minorHAnsi"/>
          <w:sz w:val="22"/>
          <w:szCs w:val="22"/>
        </w:rPr>
      </w:pPr>
      <w:r w:rsidRPr="00061937">
        <w:rPr>
          <w:rFonts w:asciiTheme="minorHAnsi" w:hAnsiTheme="minorHAnsi"/>
          <w:b/>
          <w:sz w:val="22"/>
          <w:szCs w:val="22"/>
        </w:rPr>
        <w:t>Advisory procedures:</w:t>
      </w:r>
      <w:r w:rsidRPr="00061937">
        <w:rPr>
          <w:rFonts w:asciiTheme="minorHAnsi" w:hAnsiTheme="minorHAnsi"/>
          <w:sz w:val="22"/>
          <w:szCs w:val="22"/>
        </w:rPr>
        <w:t xml:space="preserve"> During the approval or appeal process the Council may seek advice and recommendations from stakeholders, experts, or advisory panels.</w:t>
      </w:r>
    </w:p>
    <w:p w14:paraId="62540E33" w14:textId="77777777" w:rsidR="001E723A" w:rsidRPr="00061937" w:rsidRDefault="001E723A" w:rsidP="001E723A">
      <w:pPr>
        <w:numPr>
          <w:ilvl w:val="0"/>
          <w:numId w:val="1"/>
        </w:numPr>
        <w:spacing w:after="120"/>
        <w:rPr>
          <w:rFonts w:asciiTheme="minorHAnsi" w:hAnsiTheme="minorHAnsi"/>
          <w:sz w:val="22"/>
          <w:szCs w:val="22"/>
        </w:rPr>
      </w:pPr>
      <w:r w:rsidRPr="00061937">
        <w:rPr>
          <w:rFonts w:asciiTheme="minorHAnsi" w:hAnsiTheme="minorHAnsi"/>
          <w:b/>
          <w:sz w:val="22"/>
          <w:szCs w:val="22"/>
        </w:rPr>
        <w:t>Decisions:</w:t>
      </w:r>
      <w:r w:rsidRPr="00061937">
        <w:rPr>
          <w:rFonts w:asciiTheme="minorHAnsi" w:hAnsiTheme="minorHAnsi"/>
          <w:sz w:val="22"/>
          <w:szCs w:val="22"/>
        </w:rPr>
        <w:t xml:space="preserve"> The Council will provide written notification of its decisions, including details of the grounds on which decisions were based, to all relevant parties.  </w:t>
      </w:r>
    </w:p>
    <w:p w14:paraId="4DB19AF6" w14:textId="77777777" w:rsidR="001E723A" w:rsidRPr="00061937" w:rsidRDefault="001E723A" w:rsidP="001E723A">
      <w:pPr>
        <w:numPr>
          <w:ilvl w:val="0"/>
          <w:numId w:val="1"/>
        </w:numPr>
        <w:spacing w:after="120"/>
        <w:rPr>
          <w:rFonts w:asciiTheme="minorHAnsi" w:hAnsiTheme="minorHAnsi"/>
          <w:sz w:val="22"/>
          <w:szCs w:val="22"/>
        </w:rPr>
      </w:pPr>
      <w:r w:rsidRPr="00061937">
        <w:rPr>
          <w:rFonts w:asciiTheme="minorHAnsi" w:hAnsiTheme="minorHAnsi"/>
          <w:b/>
          <w:sz w:val="22"/>
          <w:szCs w:val="22"/>
        </w:rPr>
        <w:t>Appeals:</w:t>
      </w:r>
      <w:r w:rsidRPr="00061937">
        <w:rPr>
          <w:rFonts w:asciiTheme="minorHAnsi" w:hAnsiTheme="minorHAnsi"/>
          <w:sz w:val="22"/>
          <w:szCs w:val="22"/>
        </w:rPr>
        <w:t xml:space="preserve"> Decisions on liberal learning designations may be appealed by contacting the Council and submitting a written argument that the course in question does or does not effectively address the relevant designation’s goals and outcomes.  Appeals may be filed by those whose courses have been turned down for liberal learning designation or they may be filed by other members of the College community who believe a course has been erroneously granted a liberal learning designation.</w:t>
      </w:r>
    </w:p>
    <w:p w14:paraId="3192A071" w14:textId="77777777" w:rsidR="001E723A" w:rsidRPr="00061937" w:rsidRDefault="001E723A" w:rsidP="001E723A">
      <w:pPr>
        <w:numPr>
          <w:ilvl w:val="0"/>
          <w:numId w:val="1"/>
        </w:numPr>
        <w:spacing w:after="120"/>
        <w:rPr>
          <w:rFonts w:asciiTheme="minorHAnsi" w:hAnsiTheme="minorHAnsi"/>
          <w:sz w:val="22"/>
          <w:szCs w:val="22"/>
        </w:rPr>
      </w:pPr>
      <w:r w:rsidRPr="00061937">
        <w:rPr>
          <w:rFonts w:asciiTheme="minorHAnsi" w:hAnsiTheme="minorHAnsi"/>
          <w:b/>
          <w:sz w:val="22"/>
          <w:szCs w:val="22"/>
        </w:rPr>
        <w:t xml:space="preserve">Review: </w:t>
      </w:r>
      <w:r w:rsidRPr="00061937">
        <w:rPr>
          <w:rFonts w:asciiTheme="minorHAnsi" w:hAnsiTheme="minorHAnsi"/>
          <w:sz w:val="22"/>
          <w:szCs w:val="22"/>
        </w:rPr>
        <w:t xml:space="preserve">The Liberal Learning Program Council will provide for periodic review and assessment of all courses, programs, and equivalent experiences granted liberal learning designation to assure that they continue to satisfy the relevant learning goals and outcomes.  </w:t>
      </w:r>
    </w:p>
    <w:p w14:paraId="6121D70E" w14:textId="77777777" w:rsidR="001E723A" w:rsidRPr="00061937" w:rsidRDefault="001E723A" w:rsidP="001E723A">
      <w:pPr>
        <w:ind w:left="720"/>
        <w:jc w:val="right"/>
        <w:rPr>
          <w:rFonts w:asciiTheme="minorHAnsi" w:hAnsiTheme="minorHAnsi"/>
          <w:sz w:val="22"/>
          <w:szCs w:val="22"/>
        </w:rPr>
      </w:pPr>
    </w:p>
    <w:p w14:paraId="6A442347" w14:textId="77777777" w:rsidR="001E723A" w:rsidRPr="00061937" w:rsidRDefault="001E723A" w:rsidP="001E723A">
      <w:pPr>
        <w:spacing w:after="120"/>
        <w:rPr>
          <w:rFonts w:asciiTheme="minorHAnsi" w:hAnsiTheme="minorHAnsi"/>
          <w:b/>
          <w:sz w:val="22"/>
          <w:szCs w:val="22"/>
        </w:rPr>
      </w:pPr>
      <w:r w:rsidRPr="00061937">
        <w:rPr>
          <w:rFonts w:asciiTheme="minorHAnsi" w:hAnsiTheme="minorHAnsi"/>
          <w:b/>
          <w:sz w:val="22"/>
          <w:szCs w:val="22"/>
        </w:rPr>
        <w:t>Checklist for Courses Seeking Liberal Learning Designations</w:t>
      </w:r>
    </w:p>
    <w:p w14:paraId="530A49E9" w14:textId="77777777" w:rsidR="001E723A" w:rsidRPr="00061937" w:rsidRDefault="001E723A" w:rsidP="001E723A">
      <w:pPr>
        <w:numPr>
          <w:ilvl w:val="0"/>
          <w:numId w:val="2"/>
        </w:numPr>
        <w:spacing w:after="120"/>
        <w:rPr>
          <w:rFonts w:asciiTheme="minorHAnsi" w:hAnsiTheme="minorHAnsi"/>
          <w:sz w:val="22"/>
          <w:szCs w:val="22"/>
        </w:rPr>
      </w:pPr>
      <w:r w:rsidRPr="00061937">
        <w:rPr>
          <w:rFonts w:asciiTheme="minorHAnsi" w:hAnsiTheme="minorHAnsi"/>
          <w:sz w:val="22"/>
          <w:szCs w:val="22"/>
        </w:rPr>
        <w:t>Liberal Learning Category (please indicate on your Cover Sheet)</w:t>
      </w:r>
    </w:p>
    <w:p w14:paraId="4CC257CB" w14:textId="77777777" w:rsidR="001E723A" w:rsidRPr="00061937" w:rsidRDefault="001E723A" w:rsidP="001E723A">
      <w:pPr>
        <w:spacing w:after="120"/>
        <w:ind w:left="360" w:firstLine="360"/>
        <w:rPr>
          <w:rFonts w:asciiTheme="minorHAnsi" w:hAnsiTheme="minorHAnsi"/>
          <w:sz w:val="22"/>
          <w:szCs w:val="22"/>
        </w:rPr>
      </w:pPr>
      <w:r w:rsidRPr="00061937">
        <w:rPr>
          <w:rFonts w:asciiTheme="minorHAnsi" w:hAnsiTheme="minorHAnsi"/>
          <w:sz w:val="22"/>
          <w:szCs w:val="22"/>
        </w:rPr>
        <w:t>Domain (must indicate one):</w:t>
      </w:r>
    </w:p>
    <w:p w14:paraId="56AEF304" w14:textId="77777777" w:rsidR="001E723A" w:rsidRPr="00061937" w:rsidRDefault="001E723A" w:rsidP="001E723A">
      <w:pPr>
        <w:spacing w:line="240" w:lineRule="exact"/>
        <w:ind w:left="720" w:firstLine="360"/>
        <w:rPr>
          <w:rFonts w:asciiTheme="minorHAnsi" w:hAnsiTheme="minorHAnsi"/>
          <w:sz w:val="22"/>
          <w:szCs w:val="22"/>
        </w:rPr>
      </w:pPr>
      <w:r w:rsidRPr="00061937">
        <w:rPr>
          <w:rFonts w:asciiTheme="minorHAnsi" w:hAnsiTheme="minorHAnsi"/>
          <w:sz w:val="22"/>
          <w:szCs w:val="22"/>
        </w:rPr>
        <w:t>Literary, Visual, and Performing Arts</w:t>
      </w:r>
    </w:p>
    <w:p w14:paraId="10ADCC5A" w14:textId="77777777" w:rsidR="001E723A" w:rsidRPr="00061937" w:rsidRDefault="001E723A" w:rsidP="001E723A">
      <w:pPr>
        <w:spacing w:line="240" w:lineRule="exact"/>
        <w:ind w:left="720" w:firstLine="360"/>
        <w:rPr>
          <w:rFonts w:asciiTheme="minorHAnsi" w:hAnsiTheme="minorHAnsi"/>
          <w:sz w:val="22"/>
          <w:szCs w:val="22"/>
        </w:rPr>
      </w:pPr>
      <w:r w:rsidRPr="00061937">
        <w:rPr>
          <w:rFonts w:asciiTheme="minorHAnsi" w:hAnsiTheme="minorHAnsi"/>
          <w:sz w:val="22"/>
          <w:szCs w:val="22"/>
        </w:rPr>
        <w:t>World Views and Ways of Knowing</w:t>
      </w:r>
    </w:p>
    <w:p w14:paraId="768561BF" w14:textId="77777777" w:rsidR="001E723A" w:rsidRPr="00061937" w:rsidRDefault="001E723A" w:rsidP="001E723A">
      <w:pPr>
        <w:spacing w:line="240" w:lineRule="exact"/>
        <w:ind w:left="720" w:firstLine="360"/>
        <w:rPr>
          <w:rFonts w:asciiTheme="minorHAnsi" w:hAnsiTheme="minorHAnsi"/>
          <w:sz w:val="22"/>
          <w:szCs w:val="22"/>
        </w:rPr>
      </w:pPr>
      <w:r w:rsidRPr="00061937">
        <w:rPr>
          <w:rFonts w:asciiTheme="minorHAnsi" w:hAnsiTheme="minorHAnsi"/>
          <w:sz w:val="22"/>
          <w:szCs w:val="22"/>
        </w:rPr>
        <w:t>Behavioral, Social, and Cultural Perspectives</w:t>
      </w:r>
    </w:p>
    <w:p w14:paraId="7603E068" w14:textId="77777777" w:rsidR="001E723A" w:rsidRPr="00061937" w:rsidRDefault="001E723A" w:rsidP="001E723A">
      <w:pPr>
        <w:spacing w:line="240" w:lineRule="exact"/>
        <w:ind w:left="720" w:firstLine="360"/>
        <w:rPr>
          <w:rFonts w:asciiTheme="minorHAnsi" w:hAnsiTheme="minorHAnsi"/>
          <w:sz w:val="22"/>
          <w:szCs w:val="22"/>
        </w:rPr>
      </w:pPr>
      <w:r w:rsidRPr="00061937">
        <w:rPr>
          <w:rFonts w:asciiTheme="minorHAnsi" w:hAnsiTheme="minorHAnsi"/>
          <w:sz w:val="22"/>
          <w:szCs w:val="22"/>
        </w:rPr>
        <w:t>Social Change in Historical Perspectives</w:t>
      </w:r>
    </w:p>
    <w:p w14:paraId="0DC4F816" w14:textId="77777777" w:rsidR="001E723A" w:rsidRPr="00061937" w:rsidRDefault="001E723A" w:rsidP="001E723A">
      <w:pPr>
        <w:spacing w:line="240" w:lineRule="exact"/>
        <w:ind w:left="720" w:firstLine="360"/>
        <w:rPr>
          <w:rFonts w:asciiTheme="minorHAnsi" w:hAnsiTheme="minorHAnsi"/>
          <w:sz w:val="22"/>
          <w:szCs w:val="22"/>
        </w:rPr>
      </w:pPr>
      <w:r w:rsidRPr="00061937">
        <w:rPr>
          <w:rFonts w:asciiTheme="minorHAnsi" w:hAnsiTheme="minorHAnsi"/>
          <w:sz w:val="22"/>
          <w:szCs w:val="22"/>
        </w:rPr>
        <w:t>Quantitative Reasoning</w:t>
      </w:r>
    </w:p>
    <w:p w14:paraId="586E12AC" w14:textId="77777777" w:rsidR="001E723A" w:rsidRPr="00061937" w:rsidRDefault="001E723A" w:rsidP="001E723A">
      <w:pPr>
        <w:spacing w:after="120" w:line="240" w:lineRule="exact"/>
        <w:ind w:left="720" w:firstLine="360"/>
        <w:rPr>
          <w:rFonts w:asciiTheme="minorHAnsi" w:hAnsiTheme="minorHAnsi"/>
          <w:sz w:val="22"/>
          <w:szCs w:val="22"/>
        </w:rPr>
      </w:pPr>
      <w:r w:rsidRPr="00061937">
        <w:rPr>
          <w:rFonts w:asciiTheme="minorHAnsi" w:hAnsiTheme="minorHAnsi"/>
          <w:sz w:val="22"/>
          <w:szCs w:val="22"/>
        </w:rPr>
        <w:t>Natural Science (indicate if the course has a full laboratory experience)</w:t>
      </w:r>
    </w:p>
    <w:p w14:paraId="11CF308C" w14:textId="77777777" w:rsidR="001E723A" w:rsidRPr="00061937" w:rsidRDefault="001E723A" w:rsidP="001E723A">
      <w:pPr>
        <w:spacing w:after="120"/>
        <w:ind w:left="360" w:firstLine="360"/>
        <w:rPr>
          <w:rFonts w:asciiTheme="minorHAnsi" w:hAnsiTheme="minorHAnsi"/>
          <w:sz w:val="22"/>
          <w:szCs w:val="22"/>
        </w:rPr>
      </w:pPr>
      <w:r w:rsidRPr="00061937">
        <w:rPr>
          <w:rFonts w:asciiTheme="minorHAnsi" w:hAnsiTheme="minorHAnsi"/>
          <w:sz w:val="22"/>
          <w:szCs w:val="22"/>
        </w:rPr>
        <w:t>Civic Responsibilities (may indicate none, one, or two):</w:t>
      </w:r>
    </w:p>
    <w:p w14:paraId="54861917" w14:textId="77777777" w:rsidR="001E723A" w:rsidRPr="00061937" w:rsidRDefault="001E723A" w:rsidP="001E723A">
      <w:pPr>
        <w:spacing w:line="240" w:lineRule="exact"/>
        <w:ind w:left="720" w:firstLine="360"/>
        <w:rPr>
          <w:rFonts w:asciiTheme="minorHAnsi" w:hAnsiTheme="minorHAnsi"/>
          <w:sz w:val="22"/>
          <w:szCs w:val="22"/>
        </w:rPr>
      </w:pPr>
      <w:r w:rsidRPr="00061937">
        <w:rPr>
          <w:rFonts w:asciiTheme="minorHAnsi" w:hAnsiTheme="minorHAnsi"/>
          <w:sz w:val="22"/>
          <w:szCs w:val="22"/>
        </w:rPr>
        <w:t>Race and Ethnicity</w:t>
      </w:r>
    </w:p>
    <w:p w14:paraId="377D63F8" w14:textId="77777777" w:rsidR="001E723A" w:rsidRPr="00061937" w:rsidRDefault="001E723A" w:rsidP="001E723A">
      <w:pPr>
        <w:spacing w:line="240" w:lineRule="exact"/>
        <w:ind w:left="720" w:firstLine="360"/>
        <w:rPr>
          <w:rFonts w:asciiTheme="minorHAnsi" w:hAnsiTheme="minorHAnsi"/>
          <w:sz w:val="22"/>
          <w:szCs w:val="22"/>
        </w:rPr>
      </w:pPr>
      <w:r w:rsidRPr="00061937">
        <w:rPr>
          <w:rFonts w:asciiTheme="minorHAnsi" w:hAnsiTheme="minorHAnsi"/>
          <w:sz w:val="22"/>
          <w:szCs w:val="22"/>
        </w:rPr>
        <w:t>Gender</w:t>
      </w:r>
    </w:p>
    <w:p w14:paraId="6070E80D" w14:textId="77777777" w:rsidR="001E723A" w:rsidRPr="00061937" w:rsidRDefault="001E723A" w:rsidP="001E723A">
      <w:pPr>
        <w:spacing w:line="240" w:lineRule="exact"/>
        <w:ind w:left="720" w:firstLine="360"/>
        <w:rPr>
          <w:rFonts w:asciiTheme="minorHAnsi" w:hAnsiTheme="minorHAnsi"/>
          <w:sz w:val="22"/>
          <w:szCs w:val="22"/>
        </w:rPr>
      </w:pPr>
      <w:r w:rsidRPr="00061937">
        <w:rPr>
          <w:rFonts w:asciiTheme="minorHAnsi" w:hAnsiTheme="minorHAnsi"/>
          <w:sz w:val="22"/>
          <w:szCs w:val="22"/>
        </w:rPr>
        <w:t>Global</w:t>
      </w:r>
    </w:p>
    <w:p w14:paraId="66831516" w14:textId="77777777" w:rsidR="001E723A" w:rsidRPr="00061937" w:rsidRDefault="001E723A" w:rsidP="00061937">
      <w:pPr>
        <w:spacing w:after="240" w:line="240" w:lineRule="exact"/>
        <w:ind w:left="720" w:firstLine="360"/>
        <w:rPr>
          <w:rFonts w:asciiTheme="minorHAnsi" w:hAnsiTheme="minorHAnsi"/>
          <w:sz w:val="22"/>
          <w:szCs w:val="22"/>
        </w:rPr>
      </w:pPr>
      <w:r w:rsidRPr="00061937">
        <w:rPr>
          <w:rFonts w:asciiTheme="minorHAnsi" w:hAnsiTheme="minorHAnsi"/>
          <w:sz w:val="22"/>
          <w:szCs w:val="22"/>
        </w:rPr>
        <w:t>Community Engaged Learning</w:t>
      </w:r>
    </w:p>
    <w:p w14:paraId="4DCCC914" w14:textId="0109CE07" w:rsidR="001E723A" w:rsidRPr="00061937" w:rsidRDefault="001E723A" w:rsidP="00061937">
      <w:pPr>
        <w:pStyle w:val="ListParagraph"/>
        <w:numPr>
          <w:ilvl w:val="0"/>
          <w:numId w:val="2"/>
        </w:numPr>
        <w:spacing w:after="240" w:line="240" w:lineRule="auto"/>
        <w:contextualSpacing w:val="0"/>
        <w:rPr>
          <w:rFonts w:asciiTheme="minorHAnsi" w:hAnsiTheme="minorHAnsi"/>
        </w:rPr>
      </w:pPr>
      <w:r w:rsidRPr="00061937">
        <w:rPr>
          <w:rFonts w:asciiTheme="minorHAnsi" w:hAnsiTheme="minorHAnsi"/>
        </w:rPr>
        <w:t xml:space="preserve">In narrative form, please provide a rationale indicating how specific learning activities on </w:t>
      </w:r>
      <w:r w:rsidR="009F5F85">
        <w:rPr>
          <w:rFonts w:asciiTheme="minorHAnsi" w:hAnsiTheme="minorHAnsi"/>
        </w:rPr>
        <w:t>the</w:t>
      </w:r>
      <w:r w:rsidRPr="00061937">
        <w:rPr>
          <w:rFonts w:asciiTheme="minorHAnsi" w:hAnsiTheme="minorHAnsi"/>
        </w:rPr>
        <w:t xml:space="preserve"> syllabus help students realize the particular Liberal Learning goals and outcomes for the category or categories indicate</w:t>
      </w:r>
      <w:r w:rsidR="009F5F85">
        <w:rPr>
          <w:rFonts w:asciiTheme="minorHAnsi" w:hAnsiTheme="minorHAnsi"/>
        </w:rPr>
        <w:t>d</w:t>
      </w:r>
      <w:r w:rsidRPr="00061937">
        <w:rPr>
          <w:rFonts w:asciiTheme="minorHAnsi" w:hAnsiTheme="minorHAnsi"/>
        </w:rPr>
        <w:t xml:space="preserve"> above (please include as part of your cover sheet).</w:t>
      </w:r>
      <w:r w:rsidR="006B11BD">
        <w:rPr>
          <w:rFonts w:asciiTheme="minorHAnsi" w:hAnsiTheme="minorHAnsi"/>
        </w:rPr>
        <w:t xml:space="preserve">  The most effective format is to use the appropriate Liberal Learning outcomes as he</w:t>
      </w:r>
      <w:r w:rsidR="009C4D7F">
        <w:rPr>
          <w:rFonts w:asciiTheme="minorHAnsi" w:hAnsiTheme="minorHAnsi"/>
        </w:rPr>
        <w:t xml:space="preserve">adings, and under </w:t>
      </w:r>
      <w:r w:rsidR="006B11BD" w:rsidRPr="009C4D7F">
        <w:rPr>
          <w:rFonts w:asciiTheme="minorHAnsi" w:hAnsiTheme="minorHAnsi"/>
        </w:rPr>
        <w:t xml:space="preserve">each heading (learning outcome), describe specifically </w:t>
      </w:r>
      <w:r w:rsidR="009C4D7F">
        <w:rPr>
          <w:rFonts w:asciiTheme="minorHAnsi" w:hAnsiTheme="minorHAnsi"/>
        </w:rPr>
        <w:t>how</w:t>
      </w:r>
      <w:r w:rsidR="006B11BD" w:rsidRPr="009C4D7F">
        <w:rPr>
          <w:rFonts w:asciiTheme="minorHAnsi" w:hAnsiTheme="minorHAnsi"/>
        </w:rPr>
        <w:t xml:space="preserve"> the course </w:t>
      </w:r>
      <w:r w:rsidR="009C4D7F">
        <w:rPr>
          <w:rFonts w:asciiTheme="minorHAnsi" w:hAnsiTheme="minorHAnsi"/>
        </w:rPr>
        <w:t>meets</w:t>
      </w:r>
      <w:r w:rsidR="006B11BD" w:rsidRPr="009C4D7F">
        <w:rPr>
          <w:rFonts w:asciiTheme="minorHAnsi" w:hAnsiTheme="minorHAnsi"/>
        </w:rPr>
        <w:t xml:space="preserve"> the outcome.  It is not sufficient to simply state that an outcome </w:t>
      </w:r>
      <w:r w:rsidR="009C4D7F">
        <w:rPr>
          <w:rFonts w:asciiTheme="minorHAnsi" w:hAnsiTheme="minorHAnsi"/>
        </w:rPr>
        <w:t>will be</w:t>
      </w:r>
      <w:r w:rsidR="006B11BD" w:rsidRPr="009C4D7F">
        <w:rPr>
          <w:rFonts w:asciiTheme="minorHAnsi" w:hAnsiTheme="minorHAnsi"/>
        </w:rPr>
        <w:t xml:space="preserve"> discussed or covered. Instead, link the specific material (e.g., readings, lectures) and assessments or assignments (e.g., exa</w:t>
      </w:r>
      <w:r w:rsidR="009C4D7F">
        <w:rPr>
          <w:rFonts w:asciiTheme="minorHAnsi" w:hAnsiTheme="minorHAnsi"/>
        </w:rPr>
        <w:t>ms, projects, presentations) to the </w:t>
      </w:r>
      <w:r w:rsidR="006B11BD" w:rsidRPr="009C4D7F">
        <w:rPr>
          <w:rFonts w:asciiTheme="minorHAnsi" w:hAnsiTheme="minorHAnsi"/>
        </w:rPr>
        <w:t xml:space="preserve">learning outcome, with the goal of making a case that </w:t>
      </w:r>
      <w:r w:rsidR="00F32C30">
        <w:rPr>
          <w:rFonts w:asciiTheme="minorHAnsi" w:hAnsiTheme="minorHAnsi"/>
        </w:rPr>
        <w:t>the course achie</w:t>
      </w:r>
      <w:bookmarkStart w:id="0" w:name="_GoBack"/>
      <w:bookmarkEnd w:id="0"/>
      <w:r w:rsidR="009C4D7F">
        <w:rPr>
          <w:rFonts w:asciiTheme="minorHAnsi" w:hAnsiTheme="minorHAnsi"/>
        </w:rPr>
        <w:t>ves</w:t>
      </w:r>
      <w:r w:rsidR="006B11BD" w:rsidRPr="009C4D7F">
        <w:rPr>
          <w:rFonts w:asciiTheme="minorHAnsi" w:hAnsiTheme="minorHAnsi"/>
        </w:rPr>
        <w:t xml:space="preserve"> all of the learning outcomes for the requested requirement.</w:t>
      </w:r>
    </w:p>
    <w:p w14:paraId="444AE72C" w14:textId="4DFBEF51" w:rsidR="001E723A" w:rsidRPr="00061937" w:rsidRDefault="001E723A" w:rsidP="00061937">
      <w:pPr>
        <w:pStyle w:val="ListParagraph"/>
        <w:numPr>
          <w:ilvl w:val="0"/>
          <w:numId w:val="2"/>
        </w:numPr>
        <w:spacing w:after="240" w:line="240" w:lineRule="auto"/>
        <w:contextualSpacing w:val="0"/>
        <w:rPr>
          <w:rFonts w:asciiTheme="minorHAnsi" w:hAnsiTheme="minorHAnsi"/>
        </w:rPr>
      </w:pPr>
      <w:r w:rsidRPr="00061937">
        <w:rPr>
          <w:rFonts w:asciiTheme="minorHAnsi" w:hAnsiTheme="minorHAnsi"/>
        </w:rPr>
        <w:t>Provide a full syllabus for the course including all required and recommended readings and all written assignments.</w:t>
      </w:r>
      <w:r w:rsidR="009F5F85">
        <w:rPr>
          <w:rFonts w:asciiTheme="minorHAnsi" w:hAnsiTheme="minorHAnsi"/>
        </w:rPr>
        <w:t xml:space="preserve">  The LLPC recommends that the Liberal Learning outcomes be listed on the syllabus.</w:t>
      </w:r>
    </w:p>
    <w:p w14:paraId="089353D6" w14:textId="77777777" w:rsidR="001E723A" w:rsidRPr="00061937" w:rsidRDefault="001E723A" w:rsidP="00061937">
      <w:pPr>
        <w:pStyle w:val="ListParagraph"/>
        <w:numPr>
          <w:ilvl w:val="0"/>
          <w:numId w:val="2"/>
        </w:numPr>
        <w:spacing w:after="240" w:line="240" w:lineRule="auto"/>
        <w:contextualSpacing w:val="0"/>
        <w:rPr>
          <w:rFonts w:asciiTheme="minorHAnsi" w:hAnsiTheme="minorHAnsi"/>
        </w:rPr>
      </w:pPr>
      <w:r w:rsidRPr="00061937">
        <w:rPr>
          <w:rFonts w:asciiTheme="minorHAnsi" w:hAnsiTheme="minorHAnsi"/>
        </w:rPr>
        <w:t>Provide full citations for all course readings.</w:t>
      </w:r>
    </w:p>
    <w:p w14:paraId="1703EBD9" w14:textId="77777777" w:rsidR="00C97E40" w:rsidRDefault="001E723A" w:rsidP="008F4757">
      <w:pPr>
        <w:pStyle w:val="ListParagraph"/>
        <w:numPr>
          <w:ilvl w:val="0"/>
          <w:numId w:val="2"/>
        </w:numPr>
        <w:spacing w:after="240" w:line="240" w:lineRule="auto"/>
        <w:contextualSpacing w:val="0"/>
        <w:rPr>
          <w:rFonts w:asciiTheme="minorHAnsi" w:hAnsiTheme="minorHAnsi"/>
        </w:rPr>
      </w:pPr>
      <w:r w:rsidRPr="00C97E40">
        <w:rPr>
          <w:rFonts w:asciiTheme="minorHAnsi" w:hAnsiTheme="minorHAnsi"/>
        </w:rPr>
        <w:lastRenderedPageBreak/>
        <w:t>For courses offered in languages other than English, provide translations where applicable.</w:t>
      </w:r>
    </w:p>
    <w:p w14:paraId="0C7B92AA" w14:textId="77777777" w:rsidR="008F4757" w:rsidRDefault="008F4757" w:rsidP="00C97E40">
      <w:pPr>
        <w:pStyle w:val="ListParagraph"/>
        <w:numPr>
          <w:ilvl w:val="0"/>
          <w:numId w:val="2"/>
        </w:numPr>
        <w:spacing w:after="0" w:line="240" w:lineRule="auto"/>
        <w:contextualSpacing w:val="0"/>
        <w:rPr>
          <w:rFonts w:asciiTheme="minorHAnsi" w:hAnsiTheme="minorHAnsi"/>
        </w:rPr>
      </w:pPr>
      <w:r w:rsidRPr="00DF3A34">
        <w:rPr>
          <w:rFonts w:asciiTheme="minorHAnsi" w:hAnsiTheme="minorHAnsi"/>
        </w:rPr>
        <w:t>Include documentation of course approval by the school (or department if there are instances where courses do not need approval by school curriculum committees).</w:t>
      </w:r>
      <w:r w:rsidR="001821E5" w:rsidRPr="00DF3A34">
        <w:rPr>
          <w:rFonts w:asciiTheme="minorHAnsi" w:hAnsiTheme="minorHAnsi"/>
        </w:rPr>
        <w:t xml:space="preserve">  </w:t>
      </w:r>
      <w:r w:rsidR="00DF3A34">
        <w:t>For existing courses, requests for liberal learning designations must come with explicit departmental or program approval.</w:t>
      </w:r>
    </w:p>
    <w:sectPr w:rsidR="008F4757" w:rsidSect="008F4757">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12E0"/>
    <w:multiLevelType w:val="hybridMultilevel"/>
    <w:tmpl w:val="31AE2CBA"/>
    <w:lvl w:ilvl="0" w:tplc="ED4E65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F159A"/>
    <w:multiLevelType w:val="hybridMultilevel"/>
    <w:tmpl w:val="D19E33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3A"/>
    <w:rsid w:val="00061937"/>
    <w:rsid w:val="001821E5"/>
    <w:rsid w:val="001A5E61"/>
    <w:rsid w:val="001E723A"/>
    <w:rsid w:val="00215EBD"/>
    <w:rsid w:val="005902D6"/>
    <w:rsid w:val="006B11BD"/>
    <w:rsid w:val="006F2C13"/>
    <w:rsid w:val="008F4757"/>
    <w:rsid w:val="0095185A"/>
    <w:rsid w:val="009C4D7F"/>
    <w:rsid w:val="009F5F85"/>
    <w:rsid w:val="00B72F1B"/>
    <w:rsid w:val="00C97E40"/>
    <w:rsid w:val="00CE2FB4"/>
    <w:rsid w:val="00D25D60"/>
    <w:rsid w:val="00DC4F7C"/>
    <w:rsid w:val="00DF3A34"/>
    <w:rsid w:val="00F3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7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0619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061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rodrigu@tcnj.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764</Words>
  <Characters>4360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Kit Murphy</cp:lastModifiedBy>
  <cp:revision>7</cp:revision>
  <dcterms:created xsi:type="dcterms:W3CDTF">2014-03-03T22:35:00Z</dcterms:created>
  <dcterms:modified xsi:type="dcterms:W3CDTF">2015-03-16T17:50:00Z</dcterms:modified>
</cp:coreProperties>
</file>